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 w:rsidR="003A346D">
              <w:rPr>
                <w:rFonts w:ascii="Arial" w:hAnsi="Arial" w:cs="Arial"/>
                <w:b/>
                <w:sz w:val="22"/>
                <w:szCs w:val="22"/>
              </w:rPr>
              <w:t>II/602 Jihlava - JV obchvat, část JIH, opakované zadání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3A346D">
              <w:rPr>
                <w:rFonts w:ascii="Arial" w:hAnsi="Arial" w:cs="Arial"/>
                <w:sz w:val="22"/>
                <w:szCs w:val="22"/>
              </w:rPr>
              <w:t>Aneta Veleba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740AB5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740AB5">
              <w:rPr>
                <w:rFonts w:ascii="Arial" w:hAnsi="Arial" w:cs="Arial"/>
                <w:sz w:val="22"/>
                <w:szCs w:val="22"/>
              </w:rPr>
              <w:t>Veleba.A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C55ECC" w:rsidRPr="006B229C" w:rsidRDefault="00C55ECC" w:rsidP="00C55E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6B229C">
        <w:rPr>
          <w:rFonts w:ascii="Arial" w:hAnsi="Arial" w:cs="Arial"/>
          <w:b w:val="0"/>
          <w:sz w:val="22"/>
          <w:szCs w:val="22"/>
        </w:rPr>
        <w:t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orgánů vztahujících se ke stavbě II/602 Jihlava – JV obchvat</w:t>
      </w:r>
      <w:r>
        <w:rPr>
          <w:rFonts w:ascii="Arial" w:hAnsi="Arial" w:cs="Arial"/>
          <w:b w:val="0"/>
          <w:sz w:val="22"/>
          <w:szCs w:val="22"/>
        </w:rPr>
        <w:t>, část JIH</w:t>
      </w:r>
      <w:r w:rsidRPr="006B229C">
        <w:rPr>
          <w:rFonts w:ascii="Arial" w:hAnsi="Arial" w:cs="Arial"/>
          <w:b w:val="0"/>
          <w:sz w:val="22"/>
          <w:szCs w:val="22"/>
        </w:rPr>
        <w:t>. Jedná se o novostavbu</w:t>
      </w:r>
      <w:r>
        <w:rPr>
          <w:rFonts w:ascii="Arial" w:hAnsi="Arial" w:cs="Arial"/>
          <w:b w:val="0"/>
          <w:sz w:val="22"/>
          <w:szCs w:val="22"/>
        </w:rPr>
        <w:t xml:space="preserve"> části</w:t>
      </w:r>
      <w:r w:rsidRPr="006B229C">
        <w:rPr>
          <w:rFonts w:ascii="Arial" w:hAnsi="Arial" w:cs="Arial"/>
          <w:b w:val="0"/>
          <w:sz w:val="22"/>
          <w:szCs w:val="22"/>
        </w:rPr>
        <w:t xml:space="preserve"> jihovýchodního obchvatu Jihlavy, který zahrnuje propojení silnic I/38 (konec stávajíc</w:t>
      </w:r>
      <w:r>
        <w:rPr>
          <w:rFonts w:ascii="Arial" w:hAnsi="Arial" w:cs="Arial"/>
          <w:b w:val="0"/>
          <w:sz w:val="22"/>
          <w:szCs w:val="22"/>
        </w:rPr>
        <w:t>ího západního obchvatu Jihlavy) a</w:t>
      </w:r>
      <w:r w:rsidRPr="006B229C">
        <w:rPr>
          <w:rFonts w:ascii="Arial" w:hAnsi="Arial" w:cs="Arial"/>
          <w:b w:val="0"/>
          <w:sz w:val="22"/>
          <w:szCs w:val="22"/>
        </w:rPr>
        <w:t xml:space="preserve"> silnice II/405. Součástí stavby je dále realizace </w:t>
      </w:r>
      <w:r>
        <w:rPr>
          <w:rFonts w:ascii="Arial" w:hAnsi="Arial" w:cs="Arial"/>
          <w:b w:val="0"/>
          <w:sz w:val="22"/>
          <w:szCs w:val="22"/>
        </w:rPr>
        <w:t>dvou</w:t>
      </w:r>
      <w:r w:rsidRPr="006B229C">
        <w:rPr>
          <w:rFonts w:ascii="Arial" w:hAnsi="Arial" w:cs="Arial"/>
          <w:b w:val="0"/>
          <w:sz w:val="22"/>
          <w:szCs w:val="22"/>
        </w:rPr>
        <w:t xml:space="preserve"> okružních křižovatek, dvou stykových křižovatek a dvou prostých, mimoúrovňových křížení, dále pak vyvolané stavební úpravy navazujících úseků silnic, místních a účelových komunikací. V rámci s</w:t>
      </w:r>
      <w:r>
        <w:rPr>
          <w:rFonts w:ascii="Arial" w:hAnsi="Arial" w:cs="Arial"/>
          <w:b w:val="0"/>
          <w:sz w:val="22"/>
          <w:szCs w:val="22"/>
        </w:rPr>
        <w:t>tavby je navrženo dále zřízení 6</w:t>
      </w:r>
      <w:r w:rsidRPr="006B229C">
        <w:rPr>
          <w:rFonts w:ascii="Arial" w:hAnsi="Arial" w:cs="Arial"/>
          <w:b w:val="0"/>
          <w:sz w:val="22"/>
          <w:szCs w:val="22"/>
        </w:rPr>
        <w:t xml:space="preserve"> mostních objektů</w:t>
      </w:r>
      <w:r w:rsidRPr="00E64CE2">
        <w:t xml:space="preserve"> </w:t>
      </w:r>
      <w:r w:rsidRPr="00E64CE2">
        <w:rPr>
          <w:rFonts w:ascii="Arial" w:hAnsi="Arial" w:cs="Arial"/>
          <w:b w:val="0"/>
          <w:sz w:val="22"/>
          <w:szCs w:val="22"/>
        </w:rPr>
        <w:t>kde objekt SO 202 kříží významný vodní tok Jihlávka.</w:t>
      </w:r>
      <w:r w:rsidRPr="006B229C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Dále je</w:t>
      </w:r>
      <w:r w:rsidRPr="00C14AEC">
        <w:rPr>
          <w:rFonts w:ascii="Arial" w:hAnsi="Arial" w:cs="Arial"/>
          <w:b w:val="0"/>
          <w:sz w:val="22"/>
          <w:szCs w:val="22"/>
        </w:rPr>
        <w:t xml:space="preserve"> součástí stavby vybudování protihlukové stěny na stávajícím obchvatu Jihlavy v blízkosti obce Pístov dle samostatné dokumentace.</w:t>
      </w:r>
    </w:p>
    <w:p w:rsidR="00C55ECC" w:rsidRDefault="00C55ECC" w:rsidP="00C55ECC">
      <w:pPr>
        <w:pStyle w:val="Zkladntextodsazen3"/>
        <w:ind w:left="0" w:firstLine="0"/>
        <w:rPr>
          <w:szCs w:val="22"/>
        </w:rPr>
      </w:pPr>
    </w:p>
    <w:p w:rsidR="00C55ECC" w:rsidRPr="00F048DD" w:rsidRDefault="00C55ECC" w:rsidP="00C55ECC">
      <w:pPr>
        <w:pStyle w:val="Zkladntextodsazen3"/>
        <w:ind w:left="0" w:firstLine="0"/>
        <w:rPr>
          <w:szCs w:val="22"/>
        </w:rPr>
      </w:pPr>
      <w:r w:rsidRPr="00C14AEC">
        <w:rPr>
          <w:szCs w:val="22"/>
        </w:rPr>
        <w:t>Stavba bude realizována dle projektové dokumentace „II/602 Jihlava – JV obchvat, část JIH“  vypracované ve stupni PDPS společností PROfi Jihlava spol. s r.o., Pod Příkopem 933/6, 586 01 Jihlava, IČO 18198228 v dubnu 2021 (která v předmětném úseku vychází z projektové dokumentace „II/602 Jihlava – JV obchvat“  vypracované ve stupni DSP společností PROfi Jihlava spol. s r.o. v prosinci 2018) a dle projektové dokumentace „II/602 Jihlava – JV obchvat, PHS Pístov“ vypracované ve stupni PDPS společností PROfi Jihlava spol. s r.o. v září 2019.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novostavba</w:t>
      </w:r>
      <w:r w:rsidRPr="00F23649">
        <w:rPr>
          <w:rFonts w:ascii="Arial" w:hAnsi="Arial" w:cs="Arial"/>
          <w:sz w:val="22"/>
          <w:szCs w:val="22"/>
        </w:rPr>
        <w:t xml:space="preserve"> komunikace</w:t>
      </w:r>
    </w:p>
    <w:p w:rsidR="00C55ECC" w:rsidRPr="00F23649" w:rsidRDefault="00C55ECC" w:rsidP="00C55ECC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>
        <w:rPr>
          <w:rFonts w:ascii="Arial" w:hAnsi="Arial" w:cs="Arial"/>
          <w:sz w:val="22"/>
          <w:szCs w:val="22"/>
        </w:rPr>
        <w:t>602</w:t>
      </w:r>
      <w:r w:rsidRPr="005258C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k.ú </w:t>
      </w:r>
      <w:r w:rsidRPr="003D5896">
        <w:rPr>
          <w:rFonts w:ascii="Arial" w:hAnsi="Arial" w:cs="Arial"/>
          <w:spacing w:val="-4"/>
          <w:sz w:val="22"/>
          <w:szCs w:val="22"/>
        </w:rPr>
        <w:t>Jihlava, Sasov</w:t>
      </w:r>
      <w:r>
        <w:rPr>
          <w:rFonts w:ascii="Arial" w:hAnsi="Arial" w:cs="Arial"/>
          <w:spacing w:val="-4"/>
          <w:sz w:val="22"/>
          <w:szCs w:val="22"/>
        </w:rPr>
        <w:t>, Rančířov, Studénky, Pístov</w:t>
      </w:r>
    </w:p>
    <w:p w:rsidR="00C55ECC" w:rsidRPr="00F23649" w:rsidRDefault="00C55ECC" w:rsidP="00C55ECC">
      <w:pPr>
        <w:ind w:left="4245" w:hanging="4245"/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Zhotovitel stavby:</w:t>
      </w:r>
      <w:r w:rsidRPr="00F2364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dle výsledků zadávacího řízení na stavební práce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investiční akce:</w:t>
      </w:r>
      <w:r w:rsidRPr="00F2364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55</w:t>
      </w:r>
      <w:r w:rsidR="00D8110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="00D81106">
        <w:rPr>
          <w:rFonts w:ascii="Arial" w:hAnsi="Arial" w:cs="Arial"/>
          <w:sz w:val="22"/>
          <w:szCs w:val="22"/>
        </w:rPr>
        <w:t>410</w:t>
      </w:r>
      <w:r>
        <w:rPr>
          <w:rFonts w:ascii="Arial" w:hAnsi="Arial" w:cs="Arial"/>
          <w:sz w:val="22"/>
          <w:szCs w:val="22"/>
        </w:rPr>
        <w:t xml:space="preserve"> </w:t>
      </w:r>
      <w:r w:rsidR="00D81106">
        <w:rPr>
          <w:rFonts w:ascii="Arial" w:hAnsi="Arial" w:cs="Arial"/>
          <w:sz w:val="22"/>
          <w:szCs w:val="22"/>
        </w:rPr>
        <w:t>5</w:t>
      </w:r>
      <w:r w:rsidR="000B080D">
        <w:rPr>
          <w:rFonts w:ascii="Arial" w:hAnsi="Arial" w:cs="Arial"/>
          <w:sz w:val="22"/>
          <w:szCs w:val="22"/>
        </w:rPr>
        <w:t>23</w:t>
      </w:r>
      <w:r w:rsidRPr="00385964">
        <w:rPr>
          <w:rFonts w:ascii="Arial" w:hAnsi="Arial" w:cs="Arial"/>
          <w:sz w:val="22"/>
          <w:szCs w:val="22"/>
        </w:rPr>
        <w:t xml:space="preserve"> Kč bez DPH</w:t>
      </w:r>
      <w:r w:rsidRPr="00F23649">
        <w:rPr>
          <w:rFonts w:ascii="Arial" w:hAnsi="Arial" w:cs="Arial"/>
          <w:sz w:val="22"/>
          <w:szCs w:val="22"/>
        </w:rPr>
        <w:tab/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hodnota výkonu 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1 </w:t>
      </w:r>
      <w:r w:rsidR="008A151E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50</w:t>
      </w:r>
      <w:r w:rsidRPr="00E47D5E">
        <w:rPr>
          <w:rFonts w:ascii="Arial" w:hAnsi="Arial" w:cs="Arial"/>
          <w:sz w:val="22"/>
          <w:szCs w:val="22"/>
        </w:rPr>
        <w:t xml:space="preserve"> 000 Kč bez DPH</w:t>
      </w:r>
      <w:r w:rsidRPr="00740FB2">
        <w:rPr>
          <w:rFonts w:ascii="Arial" w:hAnsi="Arial" w:cs="Arial"/>
          <w:sz w:val="22"/>
          <w:szCs w:val="22"/>
        </w:rPr>
        <w:t xml:space="preserve"> 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Předpokládaný termín plnění: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 dobu realizace stavebních prací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9E26B6">
        <w:rPr>
          <w:rFonts w:ascii="Arial" w:hAnsi="Arial" w:cs="Arial"/>
          <w:sz w:val="22"/>
          <w:szCs w:val="22"/>
        </w:rPr>
        <w:t>Zahájení realizace stavby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2A3B2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/202</w:t>
      </w:r>
      <w:r w:rsidR="002A3B2D">
        <w:rPr>
          <w:rFonts w:ascii="Arial" w:hAnsi="Arial" w:cs="Arial"/>
          <w:sz w:val="22"/>
          <w:szCs w:val="22"/>
        </w:rPr>
        <w:t>2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9E26B6">
        <w:rPr>
          <w:rFonts w:ascii="Arial" w:hAnsi="Arial" w:cs="Arial"/>
          <w:sz w:val="22"/>
          <w:szCs w:val="22"/>
        </w:rPr>
        <w:t>Předčasné užívání stavby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do 31. </w:t>
      </w:r>
      <w:r w:rsidR="002A3B2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 202</w:t>
      </w:r>
      <w:r w:rsidR="002A3B2D">
        <w:rPr>
          <w:rFonts w:ascii="Arial" w:hAnsi="Arial" w:cs="Arial"/>
          <w:sz w:val="22"/>
          <w:szCs w:val="22"/>
        </w:rPr>
        <w:t>4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t>Dokončení stavby vč.</w:t>
      </w:r>
      <w:r>
        <w:rPr>
          <w:rFonts w:ascii="Arial" w:hAnsi="Arial" w:cs="Arial"/>
          <w:sz w:val="22"/>
          <w:szCs w:val="22"/>
        </w:rPr>
        <w:t xml:space="preserve"> předání </w:t>
      </w:r>
      <w:r w:rsidRPr="00C14AEC">
        <w:rPr>
          <w:rFonts w:ascii="Arial" w:hAnsi="Arial" w:cs="Arial"/>
          <w:sz w:val="22"/>
          <w:szCs w:val="22"/>
        </w:rPr>
        <w:t xml:space="preserve">kompletní 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t>dokladové části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do </w:t>
      </w:r>
      <w:r w:rsidR="002A3B2D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. </w:t>
      </w:r>
      <w:r w:rsidR="002A3B2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202</w:t>
      </w:r>
      <w:r w:rsidR="002A3B2D">
        <w:rPr>
          <w:rFonts w:ascii="Arial" w:hAnsi="Arial" w:cs="Arial"/>
          <w:sz w:val="22"/>
          <w:szCs w:val="22"/>
        </w:rPr>
        <w:t>5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C55ECC" w:rsidRPr="00F40AF4" w:rsidRDefault="00C55ECC" w:rsidP="00C55EC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0AF4">
        <w:rPr>
          <w:rFonts w:ascii="Arial" w:hAnsi="Arial" w:cs="Arial"/>
          <w:b/>
          <w:sz w:val="22"/>
          <w:szCs w:val="22"/>
          <w:u w:val="single"/>
        </w:rPr>
        <w:t>Vybraný dodavatel bude vykonávat kontrolní činnost TD na staveniš</w:t>
      </w:r>
      <w:r>
        <w:rPr>
          <w:rFonts w:ascii="Arial" w:hAnsi="Arial" w:cs="Arial"/>
          <w:b/>
          <w:sz w:val="22"/>
          <w:szCs w:val="22"/>
          <w:u w:val="single"/>
        </w:rPr>
        <w:t>ti minimálně každý pracovní den,</w:t>
      </w:r>
      <w:r w:rsidRPr="00F40AF4">
        <w:rPr>
          <w:rFonts w:ascii="Arial" w:hAnsi="Arial" w:cs="Arial"/>
          <w:b/>
          <w:sz w:val="22"/>
          <w:szCs w:val="22"/>
          <w:u w:val="single"/>
        </w:rPr>
        <w:t xml:space="preserve"> a to po dobu probíhajících stavebních prací.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</w:t>
      </w:r>
      <w:r w:rsidRPr="002D4386">
        <w:rPr>
          <w:rFonts w:ascii="Arial" w:hAnsi="Arial" w:cs="Arial"/>
          <w:b/>
          <w:sz w:val="22"/>
          <w:szCs w:val="22"/>
        </w:rPr>
        <w:t xml:space="preserve"> </w:t>
      </w:r>
      <w:r w:rsidRPr="00350306">
        <w:rPr>
          <w:rFonts w:ascii="Arial" w:hAnsi="Arial" w:cs="Arial"/>
          <w:b/>
          <w:sz w:val="22"/>
          <w:szCs w:val="22"/>
        </w:rPr>
        <w:t>II/</w:t>
      </w:r>
      <w:r>
        <w:rPr>
          <w:rFonts w:ascii="Arial" w:hAnsi="Arial" w:cs="Arial"/>
          <w:b/>
          <w:sz w:val="22"/>
          <w:szCs w:val="22"/>
        </w:rPr>
        <w:t>602 Jihlava - JV obchvat, část JIH</w:t>
      </w:r>
      <w:r w:rsidRPr="00E55D71">
        <w:rPr>
          <w:rFonts w:ascii="Arial" w:hAnsi="Arial" w:cs="Arial"/>
          <w:b/>
          <w:sz w:val="22"/>
          <w:szCs w:val="22"/>
        </w:rPr>
        <w:t>.</w:t>
      </w:r>
      <w:r w:rsidRPr="005877E3">
        <w:rPr>
          <w:rFonts w:ascii="Arial" w:hAnsi="Arial" w:cs="Arial"/>
          <w:sz w:val="22"/>
          <w:szCs w:val="22"/>
        </w:rPr>
        <w:t xml:space="preserve"> </w:t>
      </w: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7E121C" w:rsidRDefault="007E121C" w:rsidP="007E12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7E121C" w:rsidRDefault="007E121C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8C0CEA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2A3B2D" w:rsidRPr="002A3B2D">
        <w:rPr>
          <w:rFonts w:ascii="Arial" w:hAnsi="Arial" w:cs="Arial"/>
          <w:sz w:val="22"/>
          <w:szCs w:val="22"/>
        </w:rPr>
        <w:t>1</w:t>
      </w:r>
      <w:r w:rsidR="00F23F19" w:rsidRPr="002A3B2D">
        <w:rPr>
          <w:rFonts w:ascii="Arial" w:hAnsi="Arial" w:cs="Arial"/>
          <w:sz w:val="22"/>
          <w:szCs w:val="22"/>
        </w:rPr>
        <w:t xml:space="preserve"> </w:t>
      </w:r>
      <w:r w:rsidR="008A151E">
        <w:rPr>
          <w:rFonts w:ascii="Arial" w:hAnsi="Arial" w:cs="Arial"/>
          <w:sz w:val="22"/>
          <w:szCs w:val="22"/>
        </w:rPr>
        <w:t>4</w:t>
      </w:r>
      <w:r w:rsidR="002A3B2D" w:rsidRPr="002A3B2D">
        <w:rPr>
          <w:rFonts w:ascii="Arial" w:hAnsi="Arial" w:cs="Arial"/>
          <w:sz w:val="22"/>
          <w:szCs w:val="22"/>
        </w:rPr>
        <w:t>50</w:t>
      </w:r>
      <w:r w:rsidR="00713E18" w:rsidRPr="002A3B2D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</w:t>
      </w:r>
      <w:r w:rsidR="00893AB1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E75091" w:rsidRPr="003B18FB" w:rsidRDefault="004443D6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C55ECC">
        <w:rPr>
          <w:rFonts w:ascii="Arial" w:eastAsia="MS Mincho" w:hAnsi="Arial" w:cs="Arial"/>
          <w:spacing w:val="-4"/>
          <w:sz w:val="22"/>
          <w:szCs w:val="22"/>
        </w:rPr>
        <w:t>PROfi Jihlava, spol. s r.o., se sídlem Pod Příkopem 933/6, 586 01 Jihlava, IČO 18198228 – zpracovat</w:t>
      </w:r>
      <w:r w:rsidR="00C55ECC" w:rsidRPr="00C55ECC">
        <w:rPr>
          <w:rFonts w:ascii="Arial" w:eastAsia="MS Mincho" w:hAnsi="Arial" w:cs="Arial"/>
          <w:spacing w:val="-4"/>
          <w:sz w:val="22"/>
          <w:szCs w:val="22"/>
        </w:rPr>
        <w:t>el projektové dokumentace.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lastRenderedPageBreak/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lastRenderedPageBreak/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021F65" w:rsidRDefault="00021F65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F81B51">
        <w:rPr>
          <w:rFonts w:ascii="Arial" w:hAnsi="Arial" w:cs="Arial"/>
          <w:b/>
        </w:rPr>
        <w:t xml:space="preserve">-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F2B">
        <w:rPr>
          <w:rFonts w:ascii="Arial" w:hAnsi="Arial" w:cs="Arial"/>
        </w:rPr>
        <w:t xml:space="preserve">seznam </w:t>
      </w:r>
      <w:r w:rsidRPr="00EE4F2B">
        <w:rPr>
          <w:rFonts w:ascii="Arial" w:hAnsi="Arial" w:cs="Arial"/>
          <w:spacing w:val="-4"/>
        </w:rPr>
        <w:t xml:space="preserve">významných služeb </w:t>
      </w:r>
      <w:r w:rsidR="00E20795" w:rsidRPr="00EE4F2B">
        <w:rPr>
          <w:rFonts w:ascii="Arial" w:hAnsi="Arial" w:cs="Arial"/>
          <w:spacing w:val="-4"/>
        </w:rPr>
        <w:t xml:space="preserve">obdobného charakteru </w:t>
      </w:r>
      <w:r w:rsidRPr="00EE4F2B">
        <w:rPr>
          <w:rFonts w:ascii="Arial" w:hAnsi="Arial" w:cs="Arial"/>
          <w:spacing w:val="-4"/>
        </w:rPr>
        <w:t xml:space="preserve">poskytnutých </w:t>
      </w:r>
      <w:r w:rsidR="00EE4F2B">
        <w:rPr>
          <w:rFonts w:ascii="Arial" w:hAnsi="Arial" w:cs="Arial"/>
          <w:spacing w:val="-4"/>
        </w:rPr>
        <w:t>v</w:t>
      </w:r>
      <w:r w:rsidRPr="00EE4F2B">
        <w:rPr>
          <w:rFonts w:ascii="Arial" w:hAnsi="Arial" w:cs="Arial"/>
          <w:spacing w:val="-4"/>
        </w:rPr>
        <w:t xml:space="preserve"> poslední</w:t>
      </w:r>
      <w:r w:rsidR="00EE4F2B">
        <w:rPr>
          <w:rFonts w:ascii="Arial" w:hAnsi="Arial" w:cs="Arial"/>
          <w:spacing w:val="-4"/>
        </w:rPr>
        <w:t>ch</w:t>
      </w:r>
      <w:r w:rsidRPr="003156CB">
        <w:rPr>
          <w:rFonts w:ascii="Arial" w:hAnsi="Arial" w:cs="Arial"/>
          <w:b/>
          <w:spacing w:val="-4"/>
        </w:rPr>
        <w:t xml:space="preserve"> </w:t>
      </w:r>
      <w:r w:rsidR="00EE4F2B">
        <w:rPr>
          <w:rFonts w:ascii="Arial" w:hAnsi="Arial" w:cs="Arial"/>
          <w:b/>
          <w:spacing w:val="-4"/>
        </w:rPr>
        <w:t>5 letech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13153F" w:rsidRDefault="00F63462" w:rsidP="00CF354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 w:rsidR="00CF3540"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CF3540"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>pro splnění technické kvalifikace v</w:t>
      </w:r>
      <w:r w:rsidR="0013153F">
        <w:rPr>
          <w:rFonts w:ascii="Arial" w:hAnsi="Arial" w:cs="Arial"/>
          <w:sz w:val="22"/>
          <w:szCs w:val="22"/>
        </w:rPr>
        <w:t xml:space="preserve"> následujícím </w:t>
      </w:r>
      <w:r w:rsidRPr="00CF3540">
        <w:rPr>
          <w:rFonts w:ascii="Arial" w:hAnsi="Arial" w:cs="Arial"/>
          <w:sz w:val="22"/>
          <w:szCs w:val="22"/>
        </w:rPr>
        <w:t xml:space="preserve">rozsahu </w:t>
      </w:r>
      <w:r w:rsidR="002869C7" w:rsidRPr="008C0CEA">
        <w:rPr>
          <w:rFonts w:ascii="Arial" w:hAnsi="Arial" w:cs="Arial"/>
          <w:sz w:val="22"/>
          <w:szCs w:val="22"/>
        </w:rPr>
        <w:t>služeb</w:t>
      </w:r>
      <w:r w:rsidR="002869C7" w:rsidRPr="00CF3540">
        <w:rPr>
          <w:rFonts w:ascii="Arial" w:hAnsi="Arial" w:cs="Arial"/>
          <w:b/>
          <w:sz w:val="22"/>
          <w:szCs w:val="22"/>
        </w:rPr>
        <w:t xml:space="preserve"> </w:t>
      </w:r>
      <w:r w:rsidR="002869C7" w:rsidRPr="00CF3540">
        <w:rPr>
          <w:rFonts w:ascii="Arial" w:hAnsi="Arial" w:cs="Arial"/>
          <w:sz w:val="22"/>
          <w:szCs w:val="22"/>
        </w:rPr>
        <w:t>(musí se přitom jednat</w:t>
      </w:r>
      <w:r w:rsidR="002869C7"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</w:t>
      </w:r>
      <w:r w:rsidR="00A71B88" w:rsidRPr="00CF3540">
        <w:rPr>
          <w:rFonts w:ascii="Arial" w:hAnsi="Arial" w:cs="Arial"/>
          <w:spacing w:val="-2"/>
          <w:sz w:val="22"/>
          <w:szCs w:val="22"/>
        </w:rPr>
        <w:t>)</w:t>
      </w:r>
      <w:r w:rsidR="0013153F">
        <w:rPr>
          <w:rFonts w:ascii="Arial" w:hAnsi="Arial" w:cs="Arial"/>
          <w:spacing w:val="-2"/>
          <w:sz w:val="22"/>
          <w:szCs w:val="22"/>
        </w:rPr>
        <w:t>:</w:t>
      </w:r>
    </w:p>
    <w:p w:rsidR="00BB52F0" w:rsidRDefault="00CF3540" w:rsidP="00CF354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a)</w:t>
      </w:r>
      <w:r w:rsidR="002869C7" w:rsidRPr="00CF3540">
        <w:rPr>
          <w:rFonts w:ascii="Arial" w:hAnsi="Arial" w:cs="Arial"/>
          <w:spacing w:val="-6"/>
          <w:sz w:val="22"/>
          <w:szCs w:val="22"/>
        </w:rPr>
        <w:t xml:space="preserve"> </w:t>
      </w:r>
      <w:r w:rsidR="0013153F">
        <w:rPr>
          <w:rFonts w:ascii="Arial" w:hAnsi="Arial" w:cs="Arial"/>
          <w:spacing w:val="-6"/>
          <w:sz w:val="22"/>
          <w:szCs w:val="22"/>
        </w:rPr>
        <w:t>nejméně tři služby</w:t>
      </w:r>
      <w:r w:rsidR="00D53EE2">
        <w:rPr>
          <w:rFonts w:ascii="Arial" w:hAnsi="Arial" w:cs="Arial"/>
          <w:spacing w:val="-6"/>
          <w:sz w:val="22"/>
          <w:szCs w:val="22"/>
        </w:rPr>
        <w:t xml:space="preserve">, </w:t>
      </w:r>
      <w:r w:rsidR="00D53EE2" w:rsidRPr="00CF3540">
        <w:rPr>
          <w:rFonts w:ascii="Arial" w:hAnsi="Arial" w:cs="Arial"/>
          <w:spacing w:val="-2"/>
          <w:sz w:val="22"/>
          <w:szCs w:val="22"/>
        </w:rPr>
        <w:t>jej</w:t>
      </w:r>
      <w:r w:rsidR="00D53EE2">
        <w:rPr>
          <w:rFonts w:ascii="Arial" w:hAnsi="Arial" w:cs="Arial"/>
          <w:spacing w:val="-2"/>
          <w:sz w:val="22"/>
          <w:szCs w:val="22"/>
        </w:rPr>
        <w:t>ich</w:t>
      </w:r>
      <w:r w:rsidR="00D53EE2" w:rsidRPr="00CF3540">
        <w:rPr>
          <w:rFonts w:ascii="Arial" w:hAnsi="Arial" w:cs="Arial"/>
          <w:spacing w:val="-2"/>
          <w:sz w:val="22"/>
          <w:szCs w:val="22"/>
        </w:rPr>
        <w:t xml:space="preserve">ž předmětem byl ze </w:t>
      </w:r>
      <w:r w:rsidR="00D53EE2" w:rsidRPr="00CF3540">
        <w:rPr>
          <w:rFonts w:ascii="Arial" w:hAnsi="Arial" w:cs="Arial"/>
          <w:spacing w:val="-6"/>
          <w:sz w:val="22"/>
          <w:szCs w:val="22"/>
        </w:rPr>
        <w:t>strany dodavatele výkon technického dozoru stavebníka</w:t>
      </w:r>
      <w:r w:rsidR="0013153F">
        <w:rPr>
          <w:rFonts w:ascii="Arial" w:hAnsi="Arial" w:cs="Arial"/>
          <w:spacing w:val="-6"/>
          <w:sz w:val="22"/>
          <w:szCs w:val="22"/>
        </w:rPr>
        <w:t xml:space="preserve"> </w:t>
      </w:r>
      <w:r w:rsidR="002869C7" w:rsidRPr="00CF3540">
        <w:rPr>
          <w:rFonts w:ascii="Arial" w:hAnsi="Arial" w:cs="Arial"/>
          <w:spacing w:val="-6"/>
          <w:sz w:val="22"/>
          <w:szCs w:val="22"/>
        </w:rPr>
        <w:t>při realizaci stavby v</w:t>
      </w:r>
      <w:r w:rsidR="001D1A65" w:rsidRPr="00CF3540">
        <w:rPr>
          <w:rFonts w:ascii="Arial" w:hAnsi="Arial" w:cs="Arial"/>
          <w:spacing w:val="-6"/>
          <w:sz w:val="22"/>
          <w:szCs w:val="22"/>
        </w:rPr>
        <w:t> oblasti výstavby nebo rekonstrukce silnic</w:t>
      </w:r>
      <w:r>
        <w:rPr>
          <w:rFonts w:ascii="Arial" w:hAnsi="Arial" w:cs="Arial"/>
          <w:spacing w:val="-6"/>
          <w:sz w:val="22"/>
          <w:szCs w:val="22"/>
        </w:rPr>
        <w:t xml:space="preserve"> s investičními náklady</w:t>
      </w:r>
      <w:r w:rsidR="0089180E" w:rsidRPr="00CF3540">
        <w:rPr>
          <w:rFonts w:ascii="Arial" w:hAnsi="Arial" w:cs="Arial"/>
          <w:sz w:val="22"/>
          <w:szCs w:val="22"/>
        </w:rPr>
        <w:t xml:space="preserve"> </w:t>
      </w:r>
      <w:r w:rsidR="008C72FB" w:rsidRPr="00CF3540">
        <w:rPr>
          <w:rFonts w:ascii="Arial" w:hAnsi="Arial" w:cs="Arial"/>
          <w:sz w:val="22"/>
          <w:szCs w:val="22"/>
        </w:rPr>
        <w:t xml:space="preserve">v minimální výši </w:t>
      </w:r>
      <w:r w:rsidRPr="00CF3540">
        <w:rPr>
          <w:rFonts w:ascii="Arial" w:hAnsi="Arial" w:cs="Arial"/>
          <w:b/>
          <w:sz w:val="22"/>
          <w:szCs w:val="22"/>
        </w:rPr>
        <w:t>8</w:t>
      </w:r>
      <w:r w:rsidR="00612C82" w:rsidRPr="00CF3540">
        <w:rPr>
          <w:rFonts w:ascii="Arial" w:hAnsi="Arial" w:cs="Arial"/>
          <w:b/>
          <w:sz w:val="22"/>
          <w:szCs w:val="22"/>
        </w:rPr>
        <w:t>0</w:t>
      </w:r>
      <w:r w:rsidR="008C72FB" w:rsidRPr="00CF3540">
        <w:rPr>
          <w:rFonts w:ascii="Arial" w:hAnsi="Arial" w:cs="Arial"/>
          <w:b/>
          <w:sz w:val="22"/>
          <w:szCs w:val="22"/>
        </w:rPr>
        <w:t xml:space="preserve"> mil. Kč bez DPH</w:t>
      </w:r>
      <w:r w:rsidR="002605DC" w:rsidRPr="00CF3540">
        <w:rPr>
          <w:rFonts w:ascii="Arial" w:hAnsi="Arial" w:cs="Arial"/>
          <w:sz w:val="22"/>
          <w:szCs w:val="22"/>
        </w:rPr>
        <w:t xml:space="preserve"> </w:t>
      </w:r>
      <w:r w:rsidR="001D1A65" w:rsidRPr="00CF3540">
        <w:rPr>
          <w:rFonts w:ascii="Arial" w:hAnsi="Arial" w:cs="Arial"/>
          <w:sz w:val="22"/>
          <w:szCs w:val="22"/>
        </w:rPr>
        <w:t>pro každou z nich.</w:t>
      </w:r>
    </w:p>
    <w:p w:rsidR="00CF3540" w:rsidRDefault="00CF3540" w:rsidP="00CF3540">
      <w:pPr>
        <w:pStyle w:val="Bntext2"/>
        <w:spacing w:before="120" w:line="288" w:lineRule="auto"/>
        <w:ind w:left="0"/>
        <w:rPr>
          <w:b/>
        </w:rPr>
      </w:pPr>
      <w:r>
        <w:rPr>
          <w:rFonts w:cs="Arial"/>
          <w:szCs w:val="22"/>
        </w:rPr>
        <w:t xml:space="preserve">b) </w:t>
      </w:r>
      <w:r w:rsidR="00D53EE2">
        <w:rPr>
          <w:rFonts w:cs="Arial"/>
          <w:spacing w:val="-6"/>
          <w:szCs w:val="22"/>
        </w:rPr>
        <w:t xml:space="preserve">nejméně jedna služba, </w:t>
      </w:r>
      <w:r w:rsidR="00D53EE2" w:rsidRPr="00CF3540">
        <w:rPr>
          <w:rFonts w:cs="Arial"/>
          <w:spacing w:val="-2"/>
          <w:szCs w:val="22"/>
        </w:rPr>
        <w:t>jej</w:t>
      </w:r>
      <w:r w:rsidR="00D53EE2">
        <w:rPr>
          <w:rFonts w:cs="Arial"/>
          <w:spacing w:val="-2"/>
          <w:szCs w:val="22"/>
        </w:rPr>
        <w:t>ímž</w:t>
      </w:r>
      <w:r w:rsidR="00D53EE2" w:rsidRPr="00CF3540">
        <w:rPr>
          <w:rFonts w:cs="Arial"/>
          <w:spacing w:val="-2"/>
          <w:szCs w:val="22"/>
        </w:rPr>
        <w:t xml:space="preserve"> předmětem byl ze </w:t>
      </w:r>
      <w:r w:rsidR="00D53EE2" w:rsidRPr="00CF3540">
        <w:rPr>
          <w:rFonts w:cs="Arial"/>
          <w:spacing w:val="-6"/>
          <w:szCs w:val="22"/>
        </w:rPr>
        <w:t>strany dodavatele výkon technického dozoru stavebníka</w:t>
      </w:r>
      <w:r w:rsidR="00D53EE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při realizaci stavby v oblasti výstavby</w:t>
      </w:r>
      <w:r>
        <w:rPr>
          <w:b/>
        </w:rPr>
        <w:t xml:space="preserve"> </w:t>
      </w:r>
      <w:r w:rsidRPr="00BF3D71">
        <w:t xml:space="preserve">nebo rekonstrukce mostu s minimální délkou </w:t>
      </w:r>
      <w:r w:rsidRPr="001E2989">
        <w:rPr>
          <w:b/>
        </w:rPr>
        <w:t xml:space="preserve">přemostění 30 m. </w:t>
      </w:r>
    </w:p>
    <w:p w:rsidR="00CF3540" w:rsidRDefault="00CF3540" w:rsidP="00CF3540">
      <w:pPr>
        <w:pStyle w:val="Bntext2"/>
        <w:spacing w:before="120" w:line="288" w:lineRule="auto"/>
        <w:ind w:left="0"/>
      </w:pPr>
      <w:r w:rsidRPr="00BF3D71">
        <w:t xml:space="preserve">Tato významná služba může být součástí </w:t>
      </w:r>
      <w:r w:rsidR="00BF3D71">
        <w:t>stavby uvedené v bodě a).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bookmarkStart w:id="12" w:name="_GoBack"/>
      <w:bookmarkEnd w:id="12"/>
      <w:r w:rsidRPr="001305BA">
        <w:rPr>
          <w:rFonts w:ascii="Arial" w:hAnsi="Arial" w:cs="Arial"/>
        </w:rPr>
        <w:lastRenderedPageBreak/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7D6F73">
        <w:rPr>
          <w:rFonts w:ascii="Arial" w:hAnsi="Arial" w:cs="Arial"/>
          <w:snapToGrid w:val="0"/>
          <w:sz w:val="22"/>
          <w:szCs w:val="22"/>
        </w:rPr>
        <w:t>předkládané dodavatelem</w:t>
      </w:r>
      <w:r w:rsidRPr="00A12B88">
        <w:rPr>
          <w:rFonts w:ascii="Arial" w:hAnsi="Arial" w:cs="Arial"/>
          <w:snapToGrid w:val="0"/>
          <w:sz w:val="22"/>
          <w:szCs w:val="22"/>
        </w:rPr>
        <w:t xml:space="preserve"> v</w:t>
      </w:r>
      <w:r w:rsidR="007D6F73">
        <w:rPr>
          <w:rFonts w:ascii="Arial" w:hAnsi="Arial" w:cs="Arial"/>
          <w:snapToGrid w:val="0"/>
          <w:sz w:val="22"/>
          <w:szCs w:val="22"/>
        </w:rPr>
        <w:t> </w:t>
      </w:r>
      <w:r w:rsidRPr="00A12B88">
        <w:rPr>
          <w:rFonts w:ascii="Arial" w:hAnsi="Arial" w:cs="Arial"/>
          <w:snapToGrid w:val="0"/>
          <w:sz w:val="22"/>
          <w:szCs w:val="22"/>
        </w:rPr>
        <w:t>nabíd</w:t>
      </w:r>
      <w:r w:rsidR="007D6F73">
        <w:rPr>
          <w:rFonts w:ascii="Arial" w:hAnsi="Arial" w:cs="Arial"/>
          <w:snapToGrid w:val="0"/>
          <w:sz w:val="22"/>
          <w:szCs w:val="22"/>
        </w:rPr>
        <w:t xml:space="preserve">ce v </w:t>
      </w:r>
      <w:r w:rsidRPr="00A12B88">
        <w:rPr>
          <w:rFonts w:ascii="Arial" w:hAnsi="Arial" w:cs="Arial"/>
          <w:snapToGrid w:val="0"/>
          <w:sz w:val="22"/>
          <w:szCs w:val="22"/>
        </w:rPr>
        <w:t>kopiích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mohou </w:t>
      </w:r>
      <w:r w:rsidR="00A12B88">
        <w:rPr>
          <w:rFonts w:ascii="Arial" w:hAnsi="Arial" w:cs="Arial"/>
          <w:b/>
          <w:snapToGrid w:val="0"/>
          <w:sz w:val="22"/>
          <w:szCs w:val="22"/>
        </w:rPr>
        <w:t>být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nahr</w:t>
      </w:r>
      <w:r w:rsidR="00A12B88">
        <w:rPr>
          <w:rFonts w:ascii="Arial" w:hAnsi="Arial" w:cs="Arial"/>
          <w:b/>
          <w:snapToGrid w:val="0"/>
          <w:sz w:val="22"/>
          <w:szCs w:val="22"/>
        </w:rPr>
        <w:t xml:space="preserve">azeny </w:t>
      </w:r>
      <w:r w:rsidRPr="0050072F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(</w:t>
      </w:r>
      <w:r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Pr="00EE69B3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52B14">
        <w:rPr>
          <w:rFonts w:ascii="Arial" w:hAnsi="Arial" w:cs="Arial"/>
          <w:snapToGrid w:val="0"/>
          <w:spacing w:val="-2"/>
          <w:sz w:val="22"/>
          <w:szCs w:val="22"/>
        </w:rPr>
        <w:t>Vybraný dodavatel je povinen</w:t>
      </w:r>
      <w:r w:rsidR="00560274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na vyžádání zadavatele</w:t>
      </w:r>
      <w:r w:rsidR="00EE69B3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</w:t>
      </w:r>
      <w:r w:rsidRPr="00EE69B3">
        <w:rPr>
          <w:rFonts w:ascii="Arial" w:hAnsi="Arial" w:cs="Arial"/>
          <w:b/>
          <w:snapToGrid w:val="0"/>
          <w:spacing w:val="-2"/>
          <w:sz w:val="22"/>
          <w:szCs w:val="22"/>
        </w:rPr>
        <w:t>předložit před uzavřením smlouvy originály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či úředně ověřené kopie dokladů o kvalifikaci, </w:t>
      </w:r>
      <w:r w:rsidRPr="00852B14">
        <w:rPr>
          <w:rFonts w:ascii="Arial" w:hAnsi="Arial" w:cs="Arial"/>
          <w:snapToGrid w:val="0"/>
          <w:sz w:val="22"/>
          <w:szCs w:val="22"/>
        </w:rPr>
        <w:t>pokud již nebyly předloženy.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CB7BFC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22009F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:rsidR="00F63462" w:rsidRPr="00EE46E5" w:rsidRDefault="00F63462" w:rsidP="004160BE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4160BE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4160BE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F63462" w:rsidRDefault="00F63462" w:rsidP="004160BE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zakázky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4160BE" w:rsidRPr="004160BE" w:rsidRDefault="004160BE" w:rsidP="004160BE">
      <w:pPr>
        <w:pStyle w:val="Nadpis2"/>
        <w:rPr>
          <w:u w:val="single"/>
        </w:rPr>
      </w:pPr>
      <w:r w:rsidRPr="004160BE">
        <w:rPr>
          <w:u w:val="single"/>
        </w:rPr>
        <w:t>Další požadavky zadavatele</w:t>
      </w:r>
    </w:p>
    <w:p w:rsidR="004160BE" w:rsidRDefault="004160BE" w:rsidP="004160BE"/>
    <w:p w:rsidR="004160BE" w:rsidRDefault="004160BE" w:rsidP="004160BE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smlouvy 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E931A9">
        <w:rPr>
          <w:rFonts w:ascii="Arial" w:hAnsi="Arial" w:cs="Arial"/>
          <w:spacing w:val="-2"/>
          <w:sz w:val="22"/>
          <w:szCs w:val="22"/>
        </w:rPr>
        <w:t>2</w:t>
      </w:r>
      <w:r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:rsidR="004160BE" w:rsidRDefault="004160BE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4160BE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lastRenderedPageBreak/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4160BE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4160BE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(čestné prohlášení, seznam významných služeb)</w:t>
      </w:r>
    </w:p>
    <w:p w:rsidR="002568BA" w:rsidRDefault="007A6C61" w:rsidP="004160BE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4160BE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4160BE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4160BE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4160BE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zakázku se uplatní ust. § 211 odst. 3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8" w:name="_Toc464039190"/>
      <w:bookmarkStart w:id="19" w:name="_Toc468796039"/>
      <w:r w:rsidRPr="00EE46E5">
        <w:t>Vysvětlení zadávací dokumentace</w:t>
      </w:r>
      <w:bookmarkEnd w:id="18"/>
      <w:bookmarkEnd w:id="19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20" w:name="_Toc468796040"/>
      <w:r w:rsidRPr="00EE46E5">
        <w:t>Podmínky sestavení a podání nabídek</w:t>
      </w:r>
      <w:bookmarkEnd w:id="20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lastRenderedPageBreak/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6D1C60" w:rsidRPr="006D1C60" w:rsidRDefault="006D1C60" w:rsidP="00A17C05">
      <w:pPr>
        <w:pStyle w:val="Bntext2"/>
        <w:spacing w:before="120" w:line="288" w:lineRule="auto"/>
        <w:ind w:left="57"/>
        <w:rPr>
          <w:rFonts w:cs="Arial"/>
          <w:sz w:val="2"/>
          <w:szCs w:val="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3" w:name="_Toc468796043"/>
      <w:r w:rsidRPr="00EE46E5">
        <w:rPr>
          <w:u w:val="single"/>
        </w:rPr>
        <w:t>Požadavky na formu a způsob podání nabídk</w:t>
      </w:r>
      <w:bookmarkEnd w:id="23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4" w:name="_Toc464039192"/>
      <w:bookmarkStart w:id="25" w:name="_Toc468796044"/>
      <w:r w:rsidRPr="00EE46E5">
        <w:rPr>
          <w:u w:val="single"/>
        </w:rPr>
        <w:t>Požadavky na způsob zpracování nabídky a obsahové členění</w:t>
      </w:r>
      <w:bookmarkEnd w:id="24"/>
      <w:bookmarkEnd w:id="25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4160B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4160B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4160B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4160B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Default="00472958" w:rsidP="004160B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F63462" w:rsidRDefault="00D56912" w:rsidP="004160BE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6" w:name="_Toc464039186"/>
      <w:bookmarkStart w:id="27" w:name="_Toc468796045"/>
      <w:r>
        <w:t xml:space="preserve">Lhůta </w:t>
      </w:r>
      <w:r w:rsidR="00576693">
        <w:t xml:space="preserve">a způsob </w:t>
      </w:r>
      <w:r>
        <w:t>podání nabídek</w:t>
      </w:r>
      <w:bookmarkEnd w:id="26"/>
      <w:bookmarkEnd w:id="27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565A08" w:rsidRPr="00565A08">
        <w:rPr>
          <w:rFonts w:ascii="Arial" w:hAnsi="Arial" w:cs="Arial"/>
          <w:b/>
          <w:sz w:val="22"/>
          <w:szCs w:val="22"/>
        </w:rPr>
        <w:t>24</w:t>
      </w:r>
      <w:r w:rsidRPr="00565A08">
        <w:rPr>
          <w:rFonts w:ascii="Arial" w:hAnsi="Arial" w:cs="Arial"/>
          <w:b/>
          <w:sz w:val="22"/>
          <w:szCs w:val="22"/>
        </w:rPr>
        <w:t xml:space="preserve">. </w:t>
      </w:r>
      <w:r w:rsidR="00565A08" w:rsidRPr="00565A08">
        <w:rPr>
          <w:rFonts w:ascii="Arial" w:hAnsi="Arial" w:cs="Arial"/>
          <w:b/>
          <w:sz w:val="22"/>
          <w:szCs w:val="22"/>
        </w:rPr>
        <w:t>8</w:t>
      </w:r>
      <w:r w:rsidRPr="00565A08">
        <w:rPr>
          <w:rFonts w:ascii="Arial" w:hAnsi="Arial" w:cs="Arial"/>
          <w:b/>
          <w:sz w:val="22"/>
          <w:szCs w:val="22"/>
        </w:rPr>
        <w:t>. 20</w:t>
      </w:r>
      <w:r w:rsidR="009570D7" w:rsidRPr="00565A08">
        <w:rPr>
          <w:rFonts w:ascii="Arial" w:hAnsi="Arial" w:cs="Arial"/>
          <w:b/>
          <w:sz w:val="22"/>
          <w:szCs w:val="22"/>
        </w:rPr>
        <w:t>2</w:t>
      </w:r>
      <w:r w:rsidR="00840D18" w:rsidRPr="00565A08">
        <w:rPr>
          <w:rFonts w:ascii="Arial" w:hAnsi="Arial" w:cs="Arial"/>
          <w:b/>
          <w:sz w:val="22"/>
          <w:szCs w:val="22"/>
        </w:rPr>
        <w:t>2</w:t>
      </w:r>
      <w:r w:rsidRPr="00707B6F">
        <w:rPr>
          <w:rFonts w:ascii="Arial" w:hAnsi="Arial" w:cs="Arial"/>
          <w:b/>
          <w:sz w:val="22"/>
          <w:szCs w:val="22"/>
        </w:rPr>
        <w:t xml:space="preserve"> do </w:t>
      </w:r>
      <w:r w:rsidR="009570D7">
        <w:rPr>
          <w:rFonts w:ascii="Arial" w:hAnsi="Arial" w:cs="Arial"/>
          <w:b/>
          <w:sz w:val="22"/>
          <w:szCs w:val="22"/>
        </w:rPr>
        <w:t>10</w:t>
      </w:r>
      <w:r w:rsidRPr="00707B6F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lastRenderedPageBreak/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6D1C60" w:rsidRPr="00EE46E5" w:rsidRDefault="006D1C60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6D1C60" w:rsidRPr="006D1C60" w:rsidRDefault="006D1C6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7B7805">
      <w:rPr>
        <w:rFonts w:ascii="Arial" w:hAnsi="Arial" w:cs="Arial"/>
        <w:noProof/>
        <w:sz w:val="20"/>
        <w:szCs w:val="20"/>
      </w:rPr>
      <w:t>6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7B7805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7B7805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7B7805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16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9"/>
  </w:num>
  <w:num w:numId="10">
    <w:abstractNumId w:val="11"/>
  </w:num>
  <w:num w:numId="11">
    <w:abstractNumId w:val="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5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080D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53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346D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0BE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5A08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1C60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0AB5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805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121C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160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3AB1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151E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0CEA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2F24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0759D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4EF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3669"/>
    <w:rsid w:val="00AE4364"/>
    <w:rsid w:val="00AE494F"/>
    <w:rsid w:val="00AE4B73"/>
    <w:rsid w:val="00AE5C76"/>
    <w:rsid w:val="00AE6AE8"/>
    <w:rsid w:val="00AE797A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198F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3EE2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106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155E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31A9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F00"/>
    <w:rsid w:val="00F172E4"/>
    <w:rsid w:val="00F20573"/>
    <w:rsid w:val="00F22A59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48104834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uiPriority w:val="10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4160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160BE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ED6A-ADB9-43D3-9027-449FD77E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10</Pages>
  <Words>3835</Words>
  <Characters>22631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26414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Bulíčková Aneta Bc.</cp:lastModifiedBy>
  <cp:revision>68</cp:revision>
  <cp:lastPrinted>2021-01-13T11:30:00Z</cp:lastPrinted>
  <dcterms:created xsi:type="dcterms:W3CDTF">2021-01-07T10:52:00Z</dcterms:created>
  <dcterms:modified xsi:type="dcterms:W3CDTF">2022-07-19T06:03:00Z</dcterms:modified>
</cp:coreProperties>
</file>